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bookmarkStart w:id="0" w:name="_GoBack"/>
      <w:bookmarkEnd w:id="0"/>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-779467</wp:posOffset>
            </wp:positionH>
            <wp:positionV relativeFrom="paragraph">
              <wp:posOffset>-900089</wp:posOffset>
            </wp:positionV>
            <wp:extent cx="7595235" cy="9762442"/>
            <wp:effectExtent l="0" t="0" r="5715" b="0"/>
            <wp:wrapNone/>
            <wp:docPr id="2" name="Obraz 2" descr="Okładka publikacji." title="Biuletyn statystyczny województwa dolnośląskiego, 2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-707835</wp:posOffset>
            </wp:positionH>
            <wp:positionV relativeFrom="page">
              <wp:posOffset>-11430</wp:posOffset>
            </wp:positionV>
            <wp:extent cx="7548825" cy="9700260"/>
            <wp:effectExtent l="0" t="0" r="0" b="0"/>
            <wp:wrapNone/>
            <wp:docPr id="21" name="Obraz 21" descr="Strona tytułowa publikacji." title="Biuletyn statystyczny województwa dolnośląskiego, 2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8825" cy="970026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rsidR="004E644F" w:rsidRPr="00107EF8" w:rsidRDefault="004E644F" w:rsidP="004E644F">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rsidR="004E644F" w:rsidRPr="00921B61" w:rsidRDefault="004E644F" w:rsidP="004E644F">
      <w:pPr>
        <w:widowControl w:val="0"/>
        <w:autoSpaceDE w:val="0"/>
        <w:autoSpaceDN w:val="0"/>
        <w:spacing w:before="70"/>
        <w:ind w:firstLine="0"/>
        <w:jc w:val="left"/>
        <w:outlineLvl w:val="1"/>
        <w:rPr>
          <w:rFonts w:eastAsia="Myriad Pro" w:cs="Myriad Pro"/>
          <w:szCs w:val="19"/>
          <w:lang w:val="en-AU" w:eastAsia="pl-PL" w:bidi="pl-PL"/>
        </w:rPr>
      </w:pPr>
      <w:r>
        <w:rPr>
          <w:rFonts w:eastAsia="Myriad Pro" w:cs="Myriad Pro"/>
          <w:color w:val="231F20"/>
          <w:szCs w:val="19"/>
          <w:lang w:val="en-AU" w:eastAsia="pl-PL" w:bidi="pl-PL"/>
        </w:rPr>
        <w:t>Michał Besser</w:t>
      </w: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D05BBA" w:rsidRDefault="004E644F" w:rsidP="00D05BBA">
      <w:pPr>
        <w:pStyle w:val="PLtytu00"/>
      </w:pPr>
      <w:r w:rsidRPr="00D05BBA">
        <w:lastRenderedPageBreak/>
        <w:t>Spis treści</w:t>
      </w:r>
    </w:p>
    <w:p w:rsidR="004E644F" w:rsidRDefault="004E644F" w:rsidP="004E644F">
      <w:pPr>
        <w:spacing w:line="380" w:lineRule="exact"/>
        <w:ind w:firstLine="0"/>
        <w:jc w:val="left"/>
        <w:rPr>
          <w:color w:val="9274BE"/>
          <w:sz w:val="28"/>
          <w:szCs w:val="28"/>
        </w:rPr>
      </w:pPr>
      <w:r w:rsidRPr="007E738F">
        <w:rPr>
          <w:color w:val="9274BE"/>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257660">
        <w:t>7</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257660">
        <w:t>7</w:t>
      </w:r>
    </w:p>
    <w:p w:rsidR="004E644F" w:rsidRPr="006E52F7" w:rsidRDefault="004E644F" w:rsidP="00BB176A">
      <w:pPr>
        <w:pStyle w:val="Spistreciang0"/>
        <w:rPr>
          <w:rFonts w:cs="TimesNewRomanPSMT"/>
          <w:szCs w:val="19"/>
        </w:rPr>
      </w:pPr>
      <w:r w:rsidRPr="006E52F7">
        <w:t>Major abbreviations</w:t>
      </w:r>
    </w:p>
    <w:p w:rsidR="004E644F" w:rsidRDefault="004E644F" w:rsidP="00761971">
      <w:pPr>
        <w:pStyle w:val="Spistrecipol0"/>
      </w:pPr>
      <w:r w:rsidRPr="006E52F7">
        <w:t>Uwagi ogólne</w:t>
      </w:r>
      <w:r w:rsidR="003C23BD">
        <w:tab/>
      </w:r>
      <w:r w:rsidR="00D751FB">
        <w:t>1</w:t>
      </w:r>
      <w:r w:rsidR="00257660">
        <w:t>0</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CC485F">
        <w:rPr>
          <w:rFonts w:cs="TimesNewRomanPSMT"/>
          <w:szCs w:val="19"/>
        </w:rPr>
        <w:t>1</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257660">
        <w:t>2</w:t>
      </w:r>
    </w:p>
    <w:p w:rsidR="00257660" w:rsidRDefault="00257660" w:rsidP="00761971">
      <w:pPr>
        <w:pStyle w:val="Spistrecipol0"/>
      </w:pP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56033C">
        <w:t>2</w:t>
      </w:r>
      <w:r w:rsidR="00CC485F">
        <w:t>3</w:t>
      </w:r>
    </w:p>
    <w:p w:rsidR="004E644F" w:rsidRPr="006E52F7" w:rsidRDefault="004E644F" w:rsidP="004E644F">
      <w:pPr>
        <w:spacing w:line="140" w:lineRule="exact"/>
      </w:pPr>
    </w:p>
    <w:p w:rsidR="00D05BBA" w:rsidRDefault="00D05BBA" w:rsidP="00BB176A">
      <w:pPr>
        <w:pStyle w:val="Spistreciang0"/>
      </w:pPr>
    </w:p>
    <w:p w:rsidR="00D05BBA" w:rsidRPr="00D15098" w:rsidRDefault="00D05BBA"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t>Spis tablic (Excel)</w:t>
      </w:r>
    </w:p>
    <w:p w:rsidR="004E644F" w:rsidRPr="00CF7C7C" w:rsidRDefault="004E644F" w:rsidP="00D15098">
      <w:pPr>
        <w:pStyle w:val="Spistreciang0"/>
        <w:spacing w:line="280" w:lineRule="exact"/>
        <w:rPr>
          <w:color w:val="9274BE"/>
          <w:sz w:val="20"/>
          <w:szCs w:val="20"/>
        </w:rPr>
      </w:pPr>
      <w:r w:rsidRPr="00CF7C7C">
        <w:rPr>
          <w:color w:val="9274BE"/>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Unemployment 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D15098" w:rsidRDefault="0009761D" w:rsidP="0034671A">
      <w:pPr>
        <w:pStyle w:val="Spistreciang0"/>
        <w:spacing w:after="0" w:line="280" w:lineRule="exact"/>
        <w:ind w:left="0" w:firstLine="0"/>
        <w:rPr>
          <w:rFonts w:ascii="Fira Sans SemiBold" w:hAnsi="Fira Sans SemiBold"/>
          <w:color w:val="522398"/>
          <w:sz w:val="22"/>
        </w:rPr>
      </w:pPr>
      <w:r w:rsidRPr="00D15098">
        <w:rPr>
          <w:rFonts w:ascii="Fira Sans SemiBold" w:hAnsi="Fira Sans SemiBold"/>
          <w:color w:val="522398"/>
          <w:sz w:val="22"/>
        </w:rPr>
        <w:lastRenderedPageBreak/>
        <w:t>Spis tablic (Excel)</w:t>
      </w:r>
      <w:r>
        <w:rPr>
          <w:rFonts w:ascii="Fira Sans SemiBold" w:hAnsi="Fira Sans SemiBold"/>
          <w:color w:val="522398"/>
          <w:sz w:val="22"/>
        </w:rPr>
        <w:t xml:space="preserve"> (cd.)</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4E644F" w:rsidRPr="006E52F7">
        <w:t>Revenues,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(cd.)</w:t>
      </w:r>
    </w:p>
    <w:p w:rsidR="00D15098" w:rsidRPr="00CF7C7C" w:rsidRDefault="00D15098" w:rsidP="00D15098">
      <w:pPr>
        <w:pStyle w:val="Spistreciang0"/>
        <w:spacing w:line="280" w:lineRule="exact"/>
        <w:rPr>
          <w:color w:val="9274BE"/>
          <w:sz w:val="20"/>
          <w:szCs w:val="20"/>
        </w:rPr>
      </w:pPr>
      <w:r w:rsidRPr="00CF7C7C">
        <w:rPr>
          <w:color w:val="9274BE"/>
          <w:sz w:val="20"/>
          <w:szCs w:val="20"/>
        </w:rPr>
        <w:t>List of tables (Excel)</w:t>
      </w:r>
      <w:r w:rsidR="0001583B" w:rsidRPr="00CF7C7C">
        <w:rPr>
          <w:color w:val="9274BE"/>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E342FD">
        <w:rPr>
          <w:spacing w:val="-3"/>
        </w:rPr>
        <w:t xml:space="preserve"> przestępstw w okresie styczeń–czerwiec</w:t>
      </w:r>
      <w:r w:rsidRPr="00E23CDE">
        <w:rPr>
          <w:spacing w:val="-3"/>
        </w:rPr>
        <w:t xml:space="preserve"> 2022 </w:t>
      </w:r>
      <w:r w:rsidRPr="0001583B">
        <w:rPr>
          <w:spacing w:val="-2"/>
        </w:rPr>
        <w:t>r.</w:t>
      </w:r>
      <w:r w:rsidR="00412751">
        <w:rPr>
          <w:spacing w:val="-2"/>
        </w:rPr>
        <w:t xml:space="preserve"> </w:t>
      </w:r>
      <w:r w:rsidRPr="0001583B">
        <w:rPr>
          <w:spacing w:val="-2"/>
        </w:rPr>
        <w:tab/>
      </w:r>
      <w:r w:rsidR="00D05BBA" w:rsidRPr="0001583B">
        <w:rPr>
          <w:color w:val="595959" w:themeColor="text1" w:themeTint="A6"/>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E342FD">
        <w:t>in the period January–June</w:t>
      </w:r>
      <w:r>
        <w:t xml:space="preserve"> 2022</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Pr>
          <w:color w:val="595959" w:themeColor="text1" w:themeTint="A6"/>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Pr>
          <w:color w:val="595959" w:themeColor="text1" w:themeTint="A6"/>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Pr>
          <w:color w:val="595959" w:themeColor="text1" w:themeTint="A6"/>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Pr>
          <w:color w:val="595959" w:themeColor="text1" w:themeTint="A6"/>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(dok.)</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Pr>
          <w:color w:val="595959" w:themeColor="text1" w:themeTint="A6"/>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Pr>
          <w:color w:val="595959" w:themeColor="text1" w:themeTint="A6"/>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AIR QUALITY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Pr>
          <w:color w:val="595959" w:themeColor="text1" w:themeTint="A6"/>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6E52F7" w:rsidRDefault="004E644F" w:rsidP="00761971">
      <w:pPr>
        <w:pStyle w:val="Spistrecipol0"/>
        <w:rPr>
          <w:lang w:val="en-US"/>
        </w:rPr>
      </w:pPr>
      <w:r w:rsidRPr="006E52F7">
        <w:rPr>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Pr="009A56EC">
        <w:rPr>
          <w:lang w:val="en-US"/>
        </w:rPr>
        <w:t xml:space="preserve"> w 2021 r.</w:t>
      </w:r>
      <w:r w:rsidRPr="006C5381">
        <w:rPr>
          <w:lang w:val="en-US"/>
        </w:rPr>
        <w:tab/>
      </w:r>
      <w:r w:rsidR="0001583B">
        <w:rPr>
          <w:lang w:val="en-US"/>
        </w:rPr>
        <w:t xml:space="preserve"> </w:t>
      </w:r>
      <w:r w:rsidR="00D05BBA">
        <w:rPr>
          <w:color w:val="595959" w:themeColor="text1" w:themeTint="A6"/>
          <w:lang w:val="en-US"/>
        </w:rPr>
        <w:t>39</w:t>
      </w:r>
    </w:p>
    <w:p w:rsidR="004E644F" w:rsidRPr="006E52F7" w:rsidRDefault="004E644F" w:rsidP="00A61595">
      <w:pPr>
        <w:pStyle w:val="Spistreciang0"/>
      </w:pPr>
      <w:r>
        <w:t>Population in 2021</w:t>
      </w:r>
    </w:p>
    <w:p w:rsidR="00993987" w:rsidRDefault="004E644F" w:rsidP="00761971">
      <w:pPr>
        <w:pStyle w:val="Spistrecipol0"/>
        <w:rPr>
          <w:color w:val="595959" w:themeColor="text1" w:themeTint="A6"/>
          <w:lang w:val="en-US"/>
        </w:rPr>
      </w:pPr>
      <w:r w:rsidRPr="009A56EC">
        <w:t xml:space="preserve">Ruch naturalny ludności </w:t>
      </w:r>
      <w:r>
        <w:t>w 2021 r.</w:t>
      </w:r>
      <w:r>
        <w:tab/>
      </w:r>
      <w:r w:rsidR="00D05BBA">
        <w:rPr>
          <w:color w:val="595959" w:themeColor="text1" w:themeTint="A6"/>
          <w:lang w:val="en-US"/>
        </w:rPr>
        <w:t>40</w:t>
      </w:r>
    </w:p>
    <w:p w:rsidR="004E644F" w:rsidRPr="006E52F7" w:rsidRDefault="004E644F" w:rsidP="00A61595">
      <w:pPr>
        <w:pStyle w:val="Spistreciang0"/>
      </w:pPr>
      <w:r w:rsidRPr="006E52F7">
        <w:t>Vital statistics in</w:t>
      </w:r>
      <w:r>
        <w:t xml:space="preserve"> 2021</w:t>
      </w:r>
    </w:p>
    <w:p w:rsidR="00993987" w:rsidRDefault="004E644F" w:rsidP="00761971">
      <w:pPr>
        <w:pStyle w:val="Spistrecipol0"/>
        <w:rPr>
          <w:color w:val="595959" w:themeColor="text1" w:themeTint="A6"/>
          <w:lang w:val="en-US"/>
        </w:rPr>
      </w:pPr>
      <w:r w:rsidRPr="006E52F7">
        <w:t>Bezrobotni zare</w:t>
      </w:r>
      <w:r>
        <w:t>jestrowani i oferty pracy w 2022</w:t>
      </w:r>
      <w:r w:rsidRPr="006E52F7">
        <w:t xml:space="preserve"> r.</w:t>
      </w:r>
      <w:r>
        <w:tab/>
      </w:r>
      <w:r w:rsidR="0001583B">
        <w:t xml:space="preserve"> </w:t>
      </w:r>
      <w:r w:rsidR="00D05BBA">
        <w:rPr>
          <w:color w:val="595959" w:themeColor="text1" w:themeTint="A6"/>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t>22</w:t>
      </w:r>
    </w:p>
    <w:p w:rsidR="00993987" w:rsidRDefault="004E644F" w:rsidP="00761971">
      <w:pPr>
        <w:pStyle w:val="Spistrecipol0"/>
        <w:rPr>
          <w:color w:val="595959" w:themeColor="text1" w:themeTint="A6"/>
          <w:lang w:val="en-US"/>
        </w:rPr>
      </w:pPr>
      <w:r w:rsidRPr="006E52F7">
        <w:t>Bezrobotni za</w:t>
      </w:r>
      <w:r>
        <w:t>rejestrowani według wieku w 2022</w:t>
      </w:r>
      <w:r w:rsidRPr="006E52F7">
        <w:t xml:space="preserve"> r.</w:t>
      </w:r>
      <w:r>
        <w:tab/>
      </w:r>
      <w:r w:rsidR="0001583B">
        <w:t xml:space="preserve"> </w:t>
      </w:r>
      <w:r w:rsidR="00D05BBA">
        <w:rPr>
          <w:color w:val="595959" w:themeColor="text1" w:themeTint="A6"/>
          <w:lang w:val="en-US"/>
        </w:rPr>
        <w:t>42</w:t>
      </w:r>
    </w:p>
    <w:p w:rsidR="004E644F" w:rsidRPr="006E52F7" w:rsidRDefault="004E644F" w:rsidP="00A61595">
      <w:pPr>
        <w:pStyle w:val="Spistreciang0"/>
      </w:pPr>
      <w:r w:rsidRPr="006E52F7">
        <w:t>Registered unemployed persons by age in 20</w:t>
      </w:r>
      <w:r>
        <w:t>22</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t>kształcenia w 2022</w:t>
      </w:r>
      <w:r w:rsidRPr="006E52F7">
        <w:t xml:space="preserve"> r</w:t>
      </w:r>
      <w:r w:rsidR="0001583B">
        <w:t xml:space="preserve"> </w:t>
      </w:r>
      <w:r w:rsidRPr="006E52F7">
        <w:t>.</w:t>
      </w:r>
      <w:r>
        <w:tab/>
      </w:r>
      <w:r w:rsidR="0001583B">
        <w:t xml:space="preserve"> </w:t>
      </w:r>
      <w:r w:rsidR="00D05BBA">
        <w:rPr>
          <w:color w:val="595959" w:themeColor="text1" w:themeTint="A6"/>
          <w:lang w:val="en-US"/>
        </w:rPr>
        <w:t>43</w:t>
      </w:r>
    </w:p>
    <w:p w:rsidR="004E644F" w:rsidRPr="006E52F7" w:rsidRDefault="004E644F" w:rsidP="00A61595">
      <w:pPr>
        <w:pStyle w:val="Spistreciang0"/>
      </w:pPr>
      <w:r w:rsidRPr="006E52F7">
        <w:t>Registered unemployed persons by educational level in 20</w:t>
      </w:r>
      <w:r>
        <w:t>22</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E342FD">
        <w:t>czerwie</w:t>
      </w:r>
      <w:r>
        <w:t>c 2022</w:t>
      </w:r>
      <w:r w:rsidRPr="006E52F7">
        <w:t xml:space="preserve"> r.</w:t>
      </w:r>
      <w:r w:rsidR="0001583B">
        <w:t xml:space="preserve"> </w:t>
      </w:r>
      <w:r>
        <w:tab/>
      </w:r>
      <w:r w:rsidR="0001583B">
        <w:t xml:space="preserve"> </w:t>
      </w:r>
      <w:r w:rsidR="00D05BBA">
        <w:rPr>
          <w:color w:val="595959" w:themeColor="text1" w:themeTint="A6"/>
          <w:lang w:val="en-US"/>
        </w:rPr>
        <w:t>44</w:t>
      </w:r>
    </w:p>
    <w:p w:rsidR="004E644F" w:rsidRPr="006E52F7" w:rsidRDefault="004E644F" w:rsidP="00A61595">
      <w:pPr>
        <w:pStyle w:val="Spistreciang0"/>
      </w:pPr>
      <w:r w:rsidRPr="006E52F7">
        <w:t xml:space="preserve">Dwellings </w:t>
      </w:r>
      <w:r>
        <w:t>compl</w:t>
      </w:r>
      <w:r w:rsidR="00E342FD">
        <w:t>eted in the period January–June</w:t>
      </w:r>
      <w:r>
        <w:t xml:space="preserve"> 2022</w:t>
      </w:r>
    </w:p>
    <w:p w:rsidR="00993987" w:rsidRDefault="004E644F"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E342FD">
        <w:t>czerwiec</w:t>
      </w:r>
      <w:r>
        <w:t xml:space="preserve"> 2022</w:t>
      </w:r>
      <w:r w:rsidRPr="006E52F7">
        <w:t xml:space="preserve"> r</w:t>
      </w:r>
      <w:r w:rsidR="0001583B">
        <w:t xml:space="preserve"> </w:t>
      </w:r>
      <w:r w:rsidRPr="006E52F7">
        <w:t>.</w:t>
      </w:r>
      <w:r>
        <w:tab/>
      </w:r>
      <w:r w:rsidR="0001583B">
        <w:t xml:space="preserve"> </w:t>
      </w:r>
      <w:r w:rsidR="00D05BBA">
        <w:rPr>
          <w:color w:val="595959" w:themeColor="text1" w:themeTint="A6"/>
          <w:lang w:val="en-US"/>
        </w:rPr>
        <w:t>45</w:t>
      </w:r>
    </w:p>
    <w:p w:rsidR="004E644F" w:rsidRPr="006E52F7" w:rsidRDefault="004E644F" w:rsidP="00A61595">
      <w:pPr>
        <w:pStyle w:val="Spistreciang0"/>
      </w:pPr>
      <w:r w:rsidRPr="006E52F7">
        <w:t xml:space="preserve">Ascertained crimes </w:t>
      </w:r>
      <w:r w:rsidR="00E342FD">
        <w:t>in the period January–June</w:t>
      </w:r>
      <w:r>
        <w:t xml:space="preserve"> 2022</w:t>
      </w:r>
    </w:p>
    <w:p w:rsidR="00993987" w:rsidRDefault="004E644F" w:rsidP="00761971">
      <w:pPr>
        <w:pStyle w:val="Spistrecipol0"/>
        <w:rPr>
          <w:color w:val="595959" w:themeColor="text1" w:themeTint="A6"/>
          <w:lang w:val="en-US"/>
        </w:rPr>
      </w:pPr>
      <w:r w:rsidRPr="006E52F7">
        <w:t>Wskaźniki wykrywalności sprawców przestępstw</w:t>
      </w:r>
      <w:r w:rsidR="00993987">
        <w:t xml:space="preserve"> </w:t>
      </w:r>
      <w:r>
        <w:t>w okresie styczeń</w:t>
      </w:r>
      <w:r w:rsidRPr="006E52F7">
        <w:t>–</w:t>
      </w:r>
      <w:r w:rsidR="00E342FD">
        <w:t>czerwiec</w:t>
      </w:r>
      <w:r>
        <w:t xml:space="preserve"> 2022</w:t>
      </w:r>
      <w:r w:rsidRPr="006E52F7">
        <w:t xml:space="preserve"> r.</w:t>
      </w:r>
      <w:r w:rsidR="0001583B">
        <w:t xml:space="preserve"> </w:t>
      </w:r>
      <w:r>
        <w:tab/>
      </w:r>
      <w:r w:rsidR="0001583B">
        <w:t xml:space="preserve"> </w:t>
      </w:r>
      <w:r w:rsidR="00D05BBA">
        <w:rPr>
          <w:color w:val="595959" w:themeColor="text1" w:themeTint="A6"/>
          <w:lang w:val="en-US"/>
        </w:rPr>
        <w:t>46</w:t>
      </w:r>
    </w:p>
    <w:p w:rsidR="004E644F" w:rsidRPr="006E52F7" w:rsidRDefault="004E644F" w:rsidP="00A61595">
      <w:pPr>
        <w:pStyle w:val="Spistreciang0"/>
      </w:pPr>
      <w:r w:rsidRPr="006E52F7">
        <w:t>Rate of detectability of delinquents in crimes</w:t>
      </w:r>
      <w:r w:rsidR="00E342FD">
        <w:t xml:space="preserve"> in the period January–June</w:t>
      </w:r>
      <w:r>
        <w:t xml:space="preserve"> 2022</w:t>
      </w:r>
    </w:p>
    <w:p w:rsidR="00993987" w:rsidRDefault="004E644F"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E342FD">
        <w:t>czerwiec</w:t>
      </w:r>
      <w:r>
        <w:t xml:space="preserve"> 2022</w:t>
      </w:r>
      <w:r w:rsidRPr="006E52F7">
        <w:t xml:space="preserve"> r.</w:t>
      </w:r>
      <w:r w:rsidR="0001583B">
        <w:t xml:space="preserve"> </w:t>
      </w:r>
      <w:r>
        <w:rPr>
          <w:spacing w:val="-4"/>
        </w:rPr>
        <w:tab/>
      </w:r>
      <w:r w:rsidR="0001583B">
        <w:rPr>
          <w:spacing w:val="-4"/>
        </w:rPr>
        <w:t xml:space="preserve"> </w:t>
      </w:r>
      <w:r w:rsidR="00D05BBA">
        <w:rPr>
          <w:lang w:val="en-US"/>
        </w:rPr>
        <w:t>47</w:t>
      </w:r>
    </w:p>
    <w:p w:rsidR="004E644F" w:rsidRPr="006E52F7" w:rsidRDefault="004E644F" w:rsidP="00A61595">
      <w:pPr>
        <w:pStyle w:val="Spistreciang0"/>
      </w:pPr>
      <w:r w:rsidRPr="006E52F7">
        <w:t xml:space="preserve">Rescue-extinguishing activities </w:t>
      </w:r>
      <w:r w:rsidR="00E342FD">
        <w:t>in the period January–June</w:t>
      </w:r>
      <w:r>
        <w:t xml:space="preserve"> 2022</w:t>
      </w:r>
    </w:p>
    <w:p w:rsidR="00993987" w:rsidRDefault="004E644F" w:rsidP="00761971">
      <w:pPr>
        <w:pStyle w:val="Spistrecipol0"/>
        <w:rPr>
          <w:color w:val="595959" w:themeColor="text1" w:themeTint="A6"/>
          <w:lang w:val="en-US"/>
        </w:rPr>
      </w:pPr>
      <w:r>
        <w:t>Wypadki drogowe w okresie styczeń</w:t>
      </w:r>
      <w:r w:rsidRPr="006E52F7">
        <w:t>–</w:t>
      </w:r>
      <w:r w:rsidR="00E342FD">
        <w:t xml:space="preserve">czerwiec </w:t>
      </w:r>
      <w:r>
        <w:t xml:space="preserve">2022 </w:t>
      </w:r>
      <w:r w:rsidRPr="006E52F7">
        <w:t>r.</w:t>
      </w:r>
      <w:r w:rsidR="0001583B">
        <w:t xml:space="preserve"> </w:t>
      </w:r>
      <w:r>
        <w:tab/>
      </w:r>
      <w:r w:rsidR="00D05BBA">
        <w:rPr>
          <w:color w:val="595959" w:themeColor="text1" w:themeTint="A6"/>
          <w:lang w:val="en-US"/>
        </w:rPr>
        <w:t>48</w:t>
      </w:r>
    </w:p>
    <w:p w:rsidR="004E644F" w:rsidRPr="006E52F7" w:rsidRDefault="004E644F" w:rsidP="00A61595">
      <w:pPr>
        <w:pStyle w:val="Spistreciang0"/>
      </w:pPr>
      <w:r w:rsidRPr="006E52F7">
        <w:t xml:space="preserve">Road traffic </w:t>
      </w:r>
      <w:r>
        <w:t>accidents in the period</w:t>
      </w:r>
      <w:r w:rsidR="00E342FD">
        <w:t xml:space="preserve"> January– June</w:t>
      </w:r>
      <w:r>
        <w:t xml:space="preserve"> 2022</w:t>
      </w:r>
    </w:p>
    <w:p w:rsidR="00993987" w:rsidRDefault="004E644F" w:rsidP="00761971">
      <w:pPr>
        <w:pStyle w:val="Spistrecipol0"/>
        <w:rPr>
          <w:color w:val="595959" w:themeColor="text1" w:themeTint="A6"/>
          <w:lang w:val="en-US"/>
        </w:rPr>
      </w:pPr>
      <w:r w:rsidRPr="006E52F7">
        <w:t>Podmioty gospodarki narodowej w rejestrze</w:t>
      </w:r>
      <w:r>
        <w:t xml:space="preserve"> REGON w 2022</w:t>
      </w:r>
      <w:r w:rsidRPr="006E52F7">
        <w:t xml:space="preserve"> r.</w:t>
      </w:r>
      <w:r>
        <w:tab/>
      </w:r>
      <w:r w:rsidR="0001583B">
        <w:t xml:space="preserve"> </w:t>
      </w:r>
      <w:r w:rsidR="00D05BBA">
        <w:rPr>
          <w:color w:val="595959" w:themeColor="text1" w:themeTint="A6"/>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t>22</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257660">
          <w:footerReference w:type="first" r:id="rId17"/>
          <w:pgSz w:w="11907" w:h="15309" w:code="9"/>
          <w:pgMar w:top="1418" w:right="1134" w:bottom="1418" w:left="1134" w:header="709" w:footer="709" w:gutter="0"/>
          <w:pgNumType w:start="3"/>
          <w:cols w:space="284"/>
          <w:titlePg/>
          <w:docGrid w:linePitch="360"/>
        </w:sect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lastRenderedPageBreak/>
        <w:t>Objaśnienia znaków umownych</w:t>
      </w:r>
    </w:p>
    <w:p w:rsidR="0009761D" w:rsidRPr="00F67515" w:rsidRDefault="0009761D" w:rsidP="0009761D">
      <w:pPr>
        <w:pStyle w:val="Nagwek1ang"/>
        <w:spacing w:line="320" w:lineRule="exact"/>
        <w:jc w:val="left"/>
        <w:rPr>
          <w:i w:val="0"/>
          <w:color w:val="9274BE"/>
          <w:sz w:val="24"/>
          <w:szCs w:val="24"/>
          <w:lang w:val="en-GB"/>
        </w:rPr>
      </w:pPr>
      <w:r w:rsidRPr="00F67515">
        <w:rPr>
          <w:i w:val="0"/>
          <w:color w:val="9274BE"/>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DD4BE4">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t>Ważniejsze skróty</w:t>
      </w:r>
    </w:p>
    <w:p w:rsidR="0009761D" w:rsidRPr="00DD4BE4" w:rsidRDefault="0009761D" w:rsidP="0009761D">
      <w:pPr>
        <w:pStyle w:val="Nagwek1ang"/>
        <w:spacing w:line="320" w:lineRule="exact"/>
        <w:jc w:val="left"/>
        <w:rPr>
          <w:i w:val="0"/>
          <w:color w:val="9274BE"/>
          <w:sz w:val="24"/>
          <w:szCs w:val="24"/>
        </w:rPr>
      </w:pPr>
      <w:r w:rsidRPr="00DD4BE4">
        <w:rPr>
          <w:i w:val="0"/>
          <w:color w:val="9274BE"/>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1275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2A7A5D" w:rsidP="00DC5613">
            <w:pPr>
              <w:pStyle w:val="Boczek"/>
              <w:spacing w:before="40" w:after="40"/>
            </w:pPr>
            <w:r w:rsidRPr="006E52F7">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2A7A5D" w:rsidP="00DC5613">
            <w:pPr>
              <w:pStyle w:val="Boczek"/>
              <w:spacing w:before="40" w:after="40"/>
            </w:pPr>
            <w:r w:rsidRPr="006E52F7">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09761D" w:rsidP="00DC5613">
            <w:pPr>
              <w:pStyle w:val="Boczekang"/>
              <w:spacing w:before="40" w:after="40"/>
              <w:rPr>
                <w:rFonts w:ascii="Arial" w:hAnsi="Arial" w:cs="Arial"/>
                <w:i w:val="0"/>
                <w:szCs w:val="16"/>
              </w:rPr>
            </w:pPr>
            <w:r w:rsidRPr="006E52F7">
              <w:rPr>
                <w:i w:val="0"/>
              </w:rPr>
              <w:t>mililitre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mleko</w:t>
            </w:r>
          </w:p>
          <w:p w:rsidR="0009761D" w:rsidRPr="00CF7C7C" w:rsidRDefault="0009761D" w:rsidP="00CF7C7C">
            <w:pPr>
              <w:pStyle w:val="Boczekang"/>
              <w:spacing w:before="40" w:after="40"/>
              <w:rPr>
                <w:i w:val="0"/>
              </w:rPr>
            </w:pPr>
            <w:r w:rsidRPr="00CF7C7C">
              <w:rPr>
                <w:i w:val="0"/>
              </w:rPr>
              <w:t>milk</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mleko płynne przetworzone</w:t>
            </w:r>
          </w:p>
          <w:p w:rsidR="0009761D" w:rsidRPr="00CF7C7C" w:rsidRDefault="0009761D" w:rsidP="00CF7C7C">
            <w:pPr>
              <w:pStyle w:val="Boczekang"/>
              <w:spacing w:before="40" w:after="40"/>
              <w:rPr>
                <w:i w:val="0"/>
              </w:rPr>
            </w:pPr>
            <w:r w:rsidRPr="00CF7C7C">
              <w:rPr>
                <w:i w:val="0"/>
              </w:rPr>
              <w:t>processed liquid milk</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masło</w:t>
            </w:r>
          </w:p>
          <w:p w:rsidR="0009761D" w:rsidRPr="00CF7C7C" w:rsidRDefault="0009761D" w:rsidP="00CF7C7C">
            <w:pPr>
              <w:pStyle w:val="Boczekang"/>
              <w:spacing w:before="40" w:after="40"/>
              <w:rPr>
                <w:i w:val="0"/>
              </w:rPr>
            </w:pPr>
            <w:r w:rsidRPr="00CF7C7C">
              <w:rPr>
                <w:i w:val="0"/>
              </w:rPr>
              <w:t>butter</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masło i pozostałe tłuszcze do smarowania</w:t>
            </w:r>
          </w:p>
          <w:p w:rsidR="0009761D" w:rsidRPr="00CF7C7C" w:rsidRDefault="0009761D" w:rsidP="00CF7C7C">
            <w:pPr>
              <w:pStyle w:val="Boczekang"/>
              <w:spacing w:before="40" w:after="40"/>
              <w:rPr>
                <w:i w:val="0"/>
              </w:rPr>
            </w:pPr>
            <w:r w:rsidRPr="00CF7C7C">
              <w:rPr>
                <w:i w:val="0"/>
              </w:rPr>
              <w:t>butter and other spreads</w:t>
            </w:r>
          </w:p>
        </w:tc>
      </w:tr>
      <w:tr w:rsidR="0009761D" w:rsidRPr="006E52F7" w:rsidTr="00CF7C7C">
        <w:trPr>
          <w:trHeight w:val="397"/>
        </w:trPr>
        <w:tc>
          <w:tcPr>
            <w:tcW w:w="2927" w:type="dxa"/>
            <w:tcBorders>
              <w:top w:val="single" w:sz="4" w:space="0" w:color="646464"/>
              <w:bottom w:val="single" w:sz="4" w:space="0" w:color="646464"/>
              <w:right w:val="single" w:sz="4" w:space="0" w:color="646464"/>
            </w:tcBorders>
          </w:tcPr>
          <w:p w:rsidR="0009761D" w:rsidRDefault="0009761D" w:rsidP="00CF7C7C">
            <w:pPr>
              <w:pStyle w:val="Boczek"/>
              <w:spacing w:before="40" w:after="40"/>
              <w:rPr>
                <w:lang w:val="en-US"/>
              </w:rPr>
            </w:pPr>
            <w:r w:rsidRPr="00CF7C7C">
              <w:rPr>
                <w:lang w:val="en-US"/>
              </w:rPr>
              <w:t>ser niedojrzewający i twaróg</w:t>
            </w:r>
          </w:p>
          <w:p w:rsidR="0009761D" w:rsidRPr="00CF7C7C" w:rsidRDefault="0009761D" w:rsidP="00CF7C7C">
            <w:pPr>
              <w:pStyle w:val="Boczekang"/>
              <w:spacing w:before="40" w:after="40"/>
              <w:rPr>
                <w:i w:val="0"/>
              </w:rPr>
            </w:pPr>
            <w:r w:rsidRPr="00CF7C7C">
              <w:rPr>
                <w:i w:val="0"/>
              </w:rPr>
              <w:t>cheese unripened fresh and curd</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2"/>
              </w:rPr>
            </w:pPr>
            <w:r w:rsidRPr="00CF7C7C">
              <w:rPr>
                <w:spacing w:val="-2"/>
              </w:rPr>
              <w:t>ser świeży (niedojrzewający i niekonserwowany), włącznie z serem serwatkowym i twarogiem</w:t>
            </w:r>
          </w:p>
          <w:p w:rsidR="0009761D" w:rsidRPr="00CF7C7C" w:rsidRDefault="0009761D" w:rsidP="00CF7C7C">
            <w:pPr>
              <w:pStyle w:val="Boczekang"/>
              <w:spacing w:before="40" w:after="40"/>
              <w:rPr>
                <w:i w:val="0"/>
              </w:rPr>
            </w:pPr>
            <w:r w:rsidRPr="00CF7C7C">
              <w:rPr>
                <w:i w:val="0"/>
              </w:rPr>
              <w:t>fresh cheese (unripened or uncured cheese), including whey cheese and curd</w:t>
            </w:r>
          </w:p>
        </w:tc>
      </w:tr>
      <w:tr w:rsidR="0009761D" w:rsidRPr="006E52F7" w:rsidTr="00CF7C7C">
        <w:trPr>
          <w:trHeight w:val="397"/>
        </w:trPr>
        <w:tc>
          <w:tcPr>
            <w:tcW w:w="2927" w:type="dxa"/>
            <w:tcBorders>
              <w:top w:val="single" w:sz="4" w:space="0" w:color="646464"/>
              <w:bottom w:val="single" w:sz="4" w:space="0" w:color="646464"/>
              <w:right w:val="single" w:sz="4" w:space="0" w:color="646464"/>
            </w:tcBorders>
          </w:tcPr>
          <w:p w:rsidR="0009761D" w:rsidRPr="00CF7C7C" w:rsidRDefault="0009761D" w:rsidP="00CF7C7C">
            <w:pPr>
              <w:pStyle w:val="Boczek"/>
              <w:spacing w:before="40" w:after="40"/>
              <w:rPr>
                <w:lang w:val="en-US"/>
              </w:rPr>
            </w:pPr>
            <w:r w:rsidRPr="00CF7C7C">
              <w:rPr>
                <w:lang w:val="en-US"/>
              </w:rPr>
              <w:t>farby i lakiery</w:t>
            </w:r>
            <w:r w:rsidR="00346147">
              <w:rPr>
                <w:lang w:val="en-US"/>
              </w:rPr>
              <w:t xml:space="preserve"> </w:t>
            </w:r>
          </w:p>
          <w:p w:rsidR="0009761D" w:rsidRPr="00CF7C7C" w:rsidRDefault="0009761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farby, lakiery i podobne środki pokrywające, farba drukarska, gotowe sykatywy i masy uszczelniające</w:t>
            </w:r>
          </w:p>
          <w:p w:rsidR="0009761D" w:rsidRPr="00CF7C7C" w:rsidRDefault="0009761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6E52F7" w:rsidRDefault="00346147" w:rsidP="00346147">
      <w:pPr>
        <w:pStyle w:val="PLtytu00"/>
      </w:pPr>
      <w:r w:rsidRPr="006E52F7">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Pr="006E52F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3F269A" w:rsidRDefault="00346147" w:rsidP="00346147">
      <w:pPr>
        <w:pStyle w:val="PLtytu00"/>
      </w:pPr>
      <w:r w:rsidRPr="003F269A">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pPr>
      <w:r w:rsidRPr="006E52F7">
        <w:t>1.</w:t>
      </w:r>
      <w:r w:rsidRPr="006E52F7">
        <w:tab/>
        <w:t>Dane o ludności od 2010 r. zbilansowano na podstawie wyników Narodowego Spisu Powszechnego Ludności i</w:t>
      </w:r>
      <w:r>
        <w:t xml:space="preserve"> </w:t>
      </w:r>
      <w:r w:rsidRPr="006E52F7">
        <w:t>Mieszkań 2011 oraz danych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Pr>
          <w:rFonts w:cs="Arial"/>
          <w:spacing w:val="-4"/>
          <w:szCs w:val="19"/>
        </w:rPr>
        <w:t>Dz. U. 2022</w:t>
      </w:r>
      <w:r w:rsidRPr="006E52F7">
        <w:rPr>
          <w:rFonts w:cs="Arial"/>
          <w:spacing w:val="-4"/>
          <w:szCs w:val="19"/>
        </w:rPr>
        <w:t xml:space="preserve"> </w:t>
      </w:r>
      <w:r>
        <w:rPr>
          <w:rFonts w:cs="Arial"/>
          <w:szCs w:val="19"/>
        </w:rPr>
        <w:t>poz. 690</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lastRenderedPageBreak/>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Pr="006E52F7" w:rsidRDefault="00346147" w:rsidP="00346147">
      <w:pPr>
        <w:pStyle w:val="PLbody00a"/>
        <w:rPr>
          <w:b/>
        </w:rPr>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250053" w:rsidRDefault="00346147" w:rsidP="00346147">
      <w:pPr>
        <w:pStyle w:val="PLbody00a"/>
        <w:rPr>
          <w:sz w:val="20"/>
          <w:szCs w:val="20"/>
        </w:rPr>
      </w:pPr>
      <w:r w:rsidRPr="00834818">
        <w:rPr>
          <w:spacing w:val="-2"/>
        </w:rPr>
        <w:t xml:space="preserve">W związku z powyższym </w:t>
      </w:r>
      <w:r w:rsidRPr="00D751FB">
        <w:rPr>
          <w:rFonts w:ascii="Fira Sans SemiBold" w:hAnsi="Fira Sans SemiBold"/>
          <w:spacing w:val="-2"/>
        </w:rPr>
        <w:t>dane BAEL od 1 kw. 2021 r. nie mogą być porównywane z poprzednimi okresami (z wyjątkiem danych przeliczonych)</w:t>
      </w:r>
      <w:r w:rsidRPr="00834818">
        <w:rPr>
          <w:spacing w:val="-2"/>
        </w:rPr>
        <w:t>.</w:t>
      </w:r>
      <w:r w:rsidRPr="00834818">
        <w:rPr>
          <w:spacing w:val="-2"/>
          <w:sz w:val="20"/>
          <w:szCs w:val="20"/>
        </w:rPr>
        <w:t xml:space="preserve"> </w:t>
      </w:r>
      <w:r>
        <w:rPr>
          <w:sz w:val="20"/>
          <w:szCs w:val="20"/>
        </w:rPr>
        <w:t xml:space="preserve">Z uwagi na reprezentacyjny charakter badania, zalecana jest szczególna </w:t>
      </w:r>
      <w:r w:rsidRPr="00834818">
        <w:rPr>
          <w:spacing w:val="2"/>
          <w:sz w:val="20"/>
          <w:szCs w:val="20"/>
        </w:rPr>
        <w:t>ostrożność w posługiwaniu się danymi w tych przypadkach, gdy zastosowano bardziej szczegółowe podziały i występują liczby niskiego rzędu — do 4 kwartału 2019 r. — mniejsze niż 15 tys., od 1 kwartału 2020 r. — mniejsze niż 20 tys. W niniejszym opracowaniu w przypadku danych do 4 kwartału 2019 r. mniejszych niż 5 tys., a od 1 kwartału 2020 r. mniejszych niż 10 tys. nie podano konkretnych wartości ze względu na wysoki losowy błąd próby; w tablicach dane te zastąpiono znakiem umownym „ . ” (kropka).</w:t>
      </w:r>
      <w:r w:rsidRPr="00834818">
        <w:rPr>
          <w:spacing w:val="2"/>
        </w:rPr>
        <w:t xml:space="preserve">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w:t>
      </w:r>
      <w:r w:rsidRPr="00834818">
        <w:rPr>
          <w:spacing w:val="2"/>
        </w:rPr>
        <w:lastRenderedPageBreak/>
        <w:t>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lastRenderedPageBreak/>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Pr>
          <w:rFonts w:cs="Arial"/>
          <w:szCs w:val="19"/>
        </w:rPr>
        <w:t>tekst jednolity Dz. U. 2021</w:t>
      </w:r>
      <w:r w:rsidRPr="006E52F7">
        <w:rPr>
          <w:rFonts w:cs="Arial"/>
          <w:szCs w:val="19"/>
        </w:rPr>
        <w:t xml:space="preserve"> poz. </w:t>
      </w:r>
      <w:r>
        <w:rPr>
          <w:rFonts w:cs="Arial"/>
          <w:szCs w:val="19"/>
        </w:rPr>
        <w:t>217</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lastRenderedPageBreak/>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r>
      <w:r w:rsidRPr="002F333E">
        <w:rPr>
          <w:spacing w:val="-4"/>
        </w:rPr>
        <w:t>wynik na operacjach finansowych stanowi różnicę między przychodami finansowymi a kosztami finansowymi;</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lastRenderedPageBreak/>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lastRenderedPageBreak/>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lastRenderedPageBreak/>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2F333E" w:rsidRDefault="00346147" w:rsidP="00AE2669">
      <w:pPr>
        <w:pStyle w:val="PLbody01"/>
        <w:rPr>
          <w:spacing w:val="-4"/>
        </w:rPr>
      </w:pPr>
      <w:r w:rsidRPr="002F333E">
        <w:rPr>
          <w:spacing w:val="-4"/>
        </w:rPr>
        <w:t>c)</w:t>
      </w:r>
      <w:r w:rsidRPr="002F333E">
        <w:rPr>
          <w:spacing w:val="-4"/>
        </w:rPr>
        <w:tab/>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Badania </w:t>
      </w:r>
      <w:r w:rsidRPr="00D751FB">
        <w:rPr>
          <w:rFonts w:ascii="Fira Sans SemiBold" w:hAnsi="Fira Sans SemiBold"/>
        </w:rPr>
        <w:t>pogłowia trzody chlewnej i produkcji żywca wieprzowego</w:t>
      </w:r>
      <w:r w:rsidRPr="006E52F7">
        <w:t xml:space="preserve"> prowadzone były 3-krotnie w roku – w marcu według stanu na 1 marca, w czerwcu według stanu na 1 czerwca</w:t>
      </w:r>
      <w:r>
        <w:t xml:space="preserve"> </w:t>
      </w:r>
      <w:r w:rsidRPr="006E52F7">
        <w:t>i w grudniu</w:t>
      </w:r>
      <w:r w:rsidRPr="006E52F7">
        <w:rPr>
          <w:rFonts w:cs="MyriadPro-Regular"/>
          <w:szCs w:val="19"/>
        </w:rPr>
        <w:t xml:space="preserve"> </w:t>
      </w:r>
      <w:r w:rsidRPr="00834818">
        <w:rPr>
          <w:rFonts w:cs="MyriadPro-Regular"/>
          <w:spacing w:val="-2"/>
          <w:szCs w:val="19"/>
        </w:rPr>
        <w:t>według stanu na 1 grudnia, a badania pogłowia bydła i pozostałych gatunków zwierząt gospodarskich – 2-krotnie w roku – według stanu w czerwcu i grudniu. Od 2019 r. badanie pog</w:t>
      </w:r>
      <w:r w:rsidRPr="006E52F7">
        <w:rPr>
          <w:rFonts w:cs="MyriadPro-Regular"/>
          <w:szCs w:val="19"/>
        </w:rPr>
        <w:t>łowia trzody chlewnej jest prowadzone 2-krotnie w roku – według stanu w czerwcu i grudniu.</w:t>
      </w:r>
    </w:p>
    <w:p w:rsidR="00346147" w:rsidRPr="002F333E" w:rsidRDefault="00346147" w:rsidP="00AE2669">
      <w:pPr>
        <w:pStyle w:val="PLbody00"/>
        <w:rPr>
          <w:spacing w:val="-4"/>
        </w:rPr>
      </w:pPr>
      <w:r w:rsidRPr="002F333E">
        <w:rPr>
          <w:spacing w:val="-4"/>
        </w:rPr>
        <w:t>25.</w:t>
      </w:r>
      <w:r w:rsidR="009C2702" w:rsidRPr="002F333E">
        <w:rPr>
          <w:spacing w:val="-4"/>
        </w:rPr>
        <w:tab/>
      </w:r>
      <w:r w:rsidRPr="002F333E">
        <w:rPr>
          <w:spacing w:val="-4"/>
        </w:rPr>
        <w:t xml:space="preserve">Dane o wartości </w:t>
      </w:r>
      <w:r w:rsidRPr="002F333E">
        <w:rPr>
          <w:rFonts w:ascii="Fira Sans SemiBold" w:hAnsi="Fira Sans SemiBold"/>
          <w:spacing w:val="-4"/>
        </w:rPr>
        <w:t>produkcji sprzedanej przemysłu</w:t>
      </w:r>
      <w:r w:rsidRPr="002F333E">
        <w:rPr>
          <w:spacing w:val="-4"/>
        </w:rPr>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Pr="002F333E">
        <w:rPr>
          <w:rFonts w:ascii="Fira Sans SemiBold" w:hAnsi="Fira Sans SemiBold"/>
          <w:spacing w:val="-4"/>
        </w:rPr>
        <w:t>budownictwa oraz sprzedaży produkcji budowlano-montażowej</w:t>
      </w:r>
      <w:r w:rsidRPr="002F333E">
        <w:rPr>
          <w:spacing w:val="-4"/>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2F333E" w:rsidRDefault="00346147" w:rsidP="00AE2669">
      <w:pPr>
        <w:pStyle w:val="PLbody00"/>
      </w:pPr>
      <w:r w:rsidRPr="002F333E">
        <w:t>27.</w:t>
      </w:r>
      <w:r w:rsidR="009C2702" w:rsidRPr="002F333E">
        <w:tab/>
      </w:r>
      <w:r w:rsidRPr="002F333E">
        <w:t xml:space="preserve">Prezentowane dane dotyczące </w:t>
      </w:r>
      <w:r w:rsidRPr="002F333E">
        <w:rPr>
          <w:rFonts w:ascii="Fira Sans SemiBold" w:hAnsi="Fira Sans SemiBold"/>
        </w:rPr>
        <w:t>wyrobów</w:t>
      </w:r>
      <w:r w:rsidRPr="002F333E">
        <w:rPr>
          <w:b/>
        </w:rPr>
        <w:t xml:space="preserve"> </w:t>
      </w:r>
      <w:r w:rsidRPr="002F333E">
        <w:t xml:space="preserve">obejmują całkowitą produkcję wyrobów przemysłowych wytworzonych w roku sprawozdawczym, przeznaczonych do sprzedaży na zewnątrz przedsiębiorstwa, przekazanych do </w:t>
      </w:r>
      <w:r w:rsidRPr="002F333E">
        <w:lastRenderedPageBreak/>
        <w:t>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AE2669">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346147" w:rsidRPr="006E52F7" w:rsidRDefault="00346147" w:rsidP="00AE2669">
      <w:pPr>
        <w:pStyle w:val="PLbody01"/>
        <w:rPr>
          <w:b/>
          <w:bCs/>
        </w:rPr>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346147" w:rsidRDefault="00346147" w:rsidP="00AE2669">
      <w:pPr>
        <w:pStyle w:val="PLbody00"/>
      </w:pPr>
      <w:r>
        <w:rPr>
          <w:bCs/>
        </w:rPr>
        <w:t>30</w:t>
      </w:r>
      <w:r w:rsidRPr="006E52F7">
        <w:rPr>
          <w:bCs/>
        </w:rPr>
        <w:t>.</w:t>
      </w:r>
      <w:r w:rsidR="009C2702">
        <w:rPr>
          <w:bCs/>
        </w:rPr>
        <w:tab/>
      </w:r>
      <w:r w:rsidRPr="00834818">
        <w:rPr>
          <w:spacing w:val="-2"/>
        </w:rPr>
        <w:t>Wskaźniki koniunktury konsumenckiej oblicza się w oparciu o wyniki badania kondycji gospodarstw domowych (postaw konsumentów) prowadzonego metodą testu koniunktury. Test zawiera zestaw pytań skierowanych bezpośrednio do konsumentów. Uzyskane odpowiedzi dotyczą ocen kształtowania się podstawowych wielkości makroekonomicz</w:t>
      </w:r>
      <w:r>
        <w:t>nych w gospodarce narodowej oraz sytuacji finansowej konsumentów. Badanie jest zharmonizowane z zaleceniami Komisji Europejskiej i realizowane przez Główny Urząd Statystyczny z częstotliwością miesięczną. Wskaźniki obliczane są w formie sald ważonych, powstających jako różnica odpowiedzi pozytyw</w:t>
      </w:r>
      <w:r w:rsidRPr="00247BF2">
        <w:rPr>
          <w:spacing w:val="-2"/>
        </w:rPr>
        <w:t xml:space="preserve">nych i negatywnych. Podstawowymi wskaźnikami opisującymi tendencje zmian w konsumpcji indywidualnej są: </w:t>
      </w:r>
    </w:p>
    <w:p w:rsidR="00346147" w:rsidRPr="00834818" w:rsidRDefault="00346147" w:rsidP="00AE2669">
      <w:pPr>
        <w:pStyle w:val="PLbody01"/>
        <w:rPr>
          <w:spacing w:val="2"/>
        </w:rPr>
      </w:pPr>
      <w:r w:rsidRPr="006E52F7">
        <w:t>a)</w:t>
      </w:r>
      <w:r w:rsidRPr="006E52F7">
        <w:tab/>
      </w:r>
      <w:r w:rsidRPr="00834818">
        <w:rPr>
          <w:spacing w:val="2"/>
        </w:rPr>
        <w:t>bieżący wskaźnik ufności konsumenckiej – będący średnią sald ocen przeszłych oraz przewidywanych (w perspektywie 12 miesięcy) zmian sytuacji finansowej gospodarstwa domowego oraz zmian ogólnej sytuacji ekonomicznej kraju, a także obecnego dokonywania ważnych zakupów;</w:t>
      </w:r>
    </w:p>
    <w:p w:rsidR="00346147" w:rsidRDefault="00346147" w:rsidP="00AE2669">
      <w:pPr>
        <w:pStyle w:val="PLbody01"/>
      </w:pPr>
      <w:r>
        <w:t>b</w:t>
      </w:r>
      <w:r w:rsidRPr="006E52F7">
        <w:t>)</w:t>
      </w:r>
      <w:r w:rsidRPr="006E52F7">
        <w:tab/>
      </w:r>
      <w:r>
        <w:t>wyprzedzający wskaźnik ufności konsumenckiej – stanowiący średnią sald ocen zmian sytuacji finansowej gospodarstwa domowego, ogólnej sytuacji ekonomicznej kraju, trendów poziomu bezrobocia (ze znakiem przeciwnym) i możliwości oszczędzania w najbliższych 12 miesiącach.</w:t>
      </w:r>
    </w:p>
    <w:p w:rsidR="00346147" w:rsidRPr="002F333E" w:rsidRDefault="00346147" w:rsidP="00AE2669">
      <w:pPr>
        <w:pStyle w:val="PLbody00a"/>
      </w:pPr>
      <w:r w:rsidRPr="002F333E">
        <w:t>Wskaźniki mogą przyjmować wartości od –100 do +100. Wartość dodatnia oznacza przewagę liczebną konsumentów nastawionych optymistycznie nad konsumentami nastawionymi pesymistycznie, natomiast wartość ujemna oznacza przewagę liczebną konsumentów nastawionych pesymistycznie nad konsumentami nastawionymi optymistycznie</w:t>
      </w:r>
    </w:p>
    <w:p w:rsidR="00346147" w:rsidRPr="006E52F7" w:rsidRDefault="00346147" w:rsidP="00AE2669">
      <w:pPr>
        <w:pStyle w:val="PLbody00"/>
      </w:pPr>
      <w:r w:rsidRPr="006E52F7">
        <w:rPr>
          <w:bCs/>
        </w:rPr>
        <w:t>3</w:t>
      </w:r>
      <w:r>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AE2669">
      <w:pPr>
        <w:pStyle w:val="PLbody00a"/>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2F333E" w:rsidRDefault="00346147" w:rsidP="00AE2669">
      <w:pPr>
        <w:pStyle w:val="PLbody00a"/>
      </w:pPr>
      <w:r w:rsidRPr="002F333E">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3D7B57">
      <w:pPr>
        <w:pStyle w:val="PLbody00a"/>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346147" w:rsidP="002F333E">
      <w:pPr>
        <w:pStyle w:val="PLbody00"/>
      </w:pPr>
      <w:r>
        <w:rPr>
          <w:bCs/>
        </w:rPr>
        <w:t>32</w:t>
      </w:r>
      <w:r w:rsidRPr="006E52F7">
        <w:rPr>
          <w:bCs/>
        </w:rPr>
        <w:t>.</w:t>
      </w:r>
      <w:r w:rsidR="009C2702">
        <w:rPr>
          <w:bCs/>
        </w:rPr>
        <w:tab/>
      </w:r>
      <w:r w:rsidRPr="00D751FB">
        <w:rPr>
          <w:rFonts w:ascii="Fira Sans SemiBold" w:hAnsi="Fira Sans SemiBold"/>
          <w:bCs/>
        </w:rPr>
        <w:t>Wskaźnik wykrywalności sprawców przestępstw</w:t>
      </w:r>
      <w:r w:rsidRPr="006E52F7">
        <w:rPr>
          <w:b/>
          <w:bCs/>
        </w:rPr>
        <w:t xml:space="preserve"> </w:t>
      </w:r>
      <w:r w:rsidRPr="006E52F7">
        <w:t>jest to stosunek liczby przestępstw wykrytych w danym okresie (łącznie z wykrytymi po podjęciu z</w:t>
      </w:r>
      <w:r>
        <w:t xml:space="preserve"> </w:t>
      </w:r>
      <w:r w:rsidRPr="006E52F7">
        <w:t>umorzenia) do liczby przestępstw stwierdzonych w</w:t>
      </w:r>
      <w:r>
        <w:t xml:space="preserve"> </w:t>
      </w:r>
      <w:r w:rsidRPr="006E52F7">
        <w:t>danym okresie, powiększonej o liczbę przestępstw stwierdzonych w</w:t>
      </w:r>
      <w:r>
        <w:t xml:space="preserve"> </w:t>
      </w:r>
      <w:r w:rsidRPr="006E52F7">
        <w:t>podjętych postępowaniach, a</w:t>
      </w:r>
      <w:r>
        <w:t xml:space="preserve"> </w:t>
      </w:r>
      <w:r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576E1" w:rsidRDefault="00346147" w:rsidP="009576E1">
      <w:pPr>
        <w:pStyle w:val="ENtytu00"/>
      </w:pPr>
      <w:r w:rsidRPr="009576E1">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Pr="006E52F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w:t>
      </w:r>
      <w:r w:rsidRPr="006E52F7">
        <w:lastRenderedPageBreak/>
        <w:t>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8"/>
          <w:headerReference w:type="default" r:id="rId29"/>
          <w:headerReference w:type="first" r:id="rId30"/>
          <w:pgSz w:w="11907" w:h="15309" w:code="9"/>
          <w:pgMar w:top="1418" w:right="1134" w:bottom="1418" w:left="1134" w:header="851" w:footer="709" w:gutter="0"/>
          <w:cols w:space="284"/>
          <w:titlePg/>
          <w:docGrid w:linePitch="360"/>
        </w:sectPr>
      </w:pPr>
    </w:p>
    <w:p w:rsidR="00346147" w:rsidRPr="0056233A" w:rsidRDefault="00346147" w:rsidP="009576E1">
      <w:pPr>
        <w:pStyle w:val="ENtytu00"/>
      </w:pPr>
      <w:r w:rsidRPr="0056233A">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t>Data concerning population since 2010 have been compiled on the basis of results of Population and Housing Census 2011 as well current reporting data on vital statistics and population migration.</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Pr>
          <w:rFonts w:cs="Arial"/>
          <w:szCs w:val="19"/>
        </w:rPr>
        <w:t>Journal of Laws 2022</w:t>
      </w:r>
      <w:r w:rsidRPr="006E52F7">
        <w:rPr>
          <w:rFonts w:cs="Arial"/>
          <w:szCs w:val="19"/>
        </w:rPr>
        <w:t xml:space="preserve"> </w:t>
      </w:r>
      <w:r>
        <w:rPr>
          <w:rFonts w:cs="Arial"/>
          <w:szCs w:val="19"/>
        </w:rPr>
        <w:t>item 690</w:t>
      </w:r>
      <w:r w:rsidRPr="006E52F7">
        <w:rPr>
          <w:rFonts w:cs="Arial"/>
          <w:szCs w:val="19"/>
        </w:rPr>
        <w:t>).</w:t>
      </w:r>
    </w:p>
    <w:p w:rsidR="00346147" w:rsidRPr="006E52F7" w:rsidRDefault="00346147" w:rsidP="00F07FE5">
      <w:pPr>
        <w:pStyle w:val="ENbody00a"/>
        <w:rPr>
          <w:b/>
        </w:rPr>
      </w:pPr>
      <w:r>
        <w:t>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jobseekers (Journal of Laws 2022 item 583,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Pr="006E52F7" w:rsidRDefault="00346147" w:rsidP="00F07FE5">
      <w:pPr>
        <w:pStyle w:val="ENbody00a"/>
        <w:rPr>
          <w:b/>
        </w:rPr>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 up to 4 quarter</w:t>
      </w:r>
      <w:r w:rsidRPr="008F5370">
        <w:t xml:space="preserve"> 2019 </w:t>
      </w:r>
      <w:r>
        <w:t>–</w:t>
      </w:r>
      <w:r w:rsidRPr="008F5370">
        <w:t xml:space="preserve"> less than 15,000, 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In this study, in the case of data up to 4</w:t>
      </w:r>
      <w:r>
        <w:t xml:space="preserve"> quarter</w:t>
      </w:r>
      <w:r w:rsidRPr="008F5370">
        <w:t xml:space="preserve"> 2</w:t>
      </w:r>
      <w:r>
        <w:t xml:space="preserve">019, less than 5,000, and 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lastRenderedPageBreak/>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lastRenderedPageBreak/>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uniform text Journal of Laws 2021</w:t>
      </w:r>
      <w:r w:rsidRPr="006E52F7">
        <w:rPr>
          <w:rFonts w:cs="Arial"/>
          <w:szCs w:val="19"/>
        </w:rPr>
        <w:t xml:space="preserve"> item </w:t>
      </w:r>
      <w:r>
        <w:rPr>
          <w:rFonts w:cs="Arial"/>
          <w:szCs w:val="19"/>
        </w:rPr>
        <w:t>217</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w:t>
      </w:r>
      <w:r>
        <w:lastRenderedPageBreak/>
        <w:t>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 xml:space="preserve">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w:t>
      </w:r>
      <w:r>
        <w:lastRenderedPageBreak/>
        <w:t>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 xml:space="preserve">sold production of industry (i.e. mining and quarrying, manufacturing, electricity, gas, steam and air conditioning supply and also water supply; sewerage, waste management and remediation activities) are </w:t>
      </w:r>
      <w:r w:rsidRPr="006E52F7">
        <w:lastRenderedPageBreak/>
        <w:t>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lastRenderedPageBreak/>
        <w:t>22</w:t>
      </w:r>
      <w:r w:rsidR="0079149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Surveys of </w:t>
      </w:r>
      <w:r w:rsidRPr="00F07FE5">
        <w:rPr>
          <w:rFonts w:ascii="Fira Sans SemiBold" w:hAnsi="Fira Sans SemiBold"/>
        </w:rPr>
        <w:t>pig stocks and production of pigs</w:t>
      </w:r>
      <w:r w:rsidRPr="006E52F7">
        <w:t xml:space="preserve"> for slaughter are conducted three times a year – in March as of 1 March, in June as of 1 June and in December as of 1</w:t>
      </w:r>
      <w:r>
        <w:t xml:space="preserve"> </w:t>
      </w:r>
      <w:r w:rsidRPr="006E52F7">
        <w:t>December, while surveys of cattle and other farm animal species – twice a year – as at June and December.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 xml:space="preserve">in the construction of buildings and structures from site preparation through a wide range of terrestrial work, ground worked (zero state), construction of bearing elements, partitions, laying and covering of roofs (raw state) for assembly, </w:t>
      </w:r>
      <w:r w:rsidRPr="006E52F7">
        <w:lastRenderedPageBreak/>
        <w:t>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Pr="006E52F7" w:rsidRDefault="00346147" w:rsidP="004A3E82">
      <w:pPr>
        <w:pStyle w:val="ENbody01"/>
        <w:rPr>
          <w:rFonts w:cs="Arial"/>
          <w:b/>
        </w:rPr>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346147" w:rsidRDefault="00346147" w:rsidP="004A3E82">
      <w:pPr>
        <w:pStyle w:val="ENbody00"/>
      </w:pPr>
      <w:r>
        <w:t>30</w:t>
      </w:r>
      <w:r w:rsidRPr="006E52F7">
        <w:t>.</w:t>
      </w:r>
      <w:r w:rsidRPr="006E52F7">
        <w:rPr>
          <w:b/>
        </w:rPr>
        <w:tab/>
      </w:r>
      <w:r>
        <w:t>Consumer tendency indicators are calculated based on the results of the household survey (consumer opinion survey) carried out with the use of the consumer tendency test. The test contains a set of questions directly addressing the consumers. The answers reflect their assessment of the basic macroeconomic variables in the national economy and of the consumer’s financial condition. The survey is carried out by the Statistics Poland in accordance with the European Commission’s recommendations on a monthly basis.</w:t>
      </w:r>
    </w:p>
    <w:p w:rsidR="00346147" w:rsidRDefault="00346147" w:rsidP="00346147">
      <w:pPr>
        <w:pStyle w:val="Normalnywysunityang"/>
        <w:ind w:firstLine="0"/>
      </w:pPr>
      <w:r>
        <w:t>The indicators are expressed in the form of weighted variables representing the difference between positive and negative answers. The basic indicators representing individual consumption trends include:</w:t>
      </w:r>
      <w:r w:rsidRPr="00250053">
        <w:t xml:space="preserve"> </w:t>
      </w:r>
    </w:p>
    <w:p w:rsidR="00346147" w:rsidRDefault="00346147" w:rsidP="004A3E82">
      <w:pPr>
        <w:pStyle w:val="ENbody01"/>
      </w:pPr>
      <w:r>
        <w:t>a)</w:t>
      </w:r>
      <w:r>
        <w:tab/>
        <w:t>current consumer confidence indicator – being the arithmetic mean of the evaluations of the previous and predicted (over the following 12 months) changes concerning the household’s financial condition as well as the general economic situation of the country and major purchases currently made;</w:t>
      </w:r>
    </w:p>
    <w:p w:rsidR="00346147" w:rsidRPr="00250053" w:rsidRDefault="00346147" w:rsidP="004A3E82">
      <w:pPr>
        <w:pStyle w:val="ENbody01"/>
      </w:pPr>
      <w:r>
        <w:t>b)</w:t>
      </w:r>
      <w:r>
        <w:tab/>
        <w:t>leading consumer confidence indicator – being the arithmetic mean of the evaluations of changes in the household’s financial condition, the economic situation of the country, trends in unemployment (with inverted sign) and saving propensity, all over the next 12 months.</w:t>
      </w:r>
    </w:p>
    <w:p w:rsidR="00346147" w:rsidRPr="006E52F7" w:rsidRDefault="00346147" w:rsidP="004A3E82">
      <w:pPr>
        <w:pStyle w:val="ENbody00"/>
      </w:pPr>
      <w:r>
        <w:rPr>
          <w:bCs/>
        </w:rPr>
        <w:t>31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4A3E82">
      <w:pPr>
        <w:pStyle w:val="ENbody00a"/>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4A3E82">
      <w:pPr>
        <w:pStyle w:val="ENbody00a"/>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346147" w:rsidP="004A3E82">
      <w:pPr>
        <w:pStyle w:val="ENbody00"/>
      </w:pPr>
      <w:r>
        <w:rPr>
          <w:bCs/>
        </w:rPr>
        <w:t>32</w:t>
      </w:r>
      <w:r w:rsidRPr="006E52F7">
        <w:rPr>
          <w:bCs/>
        </w:rPr>
        <w:t>.</w:t>
      </w:r>
      <w:r w:rsidR="004A3E82">
        <w:rPr>
          <w:b/>
          <w:bCs/>
        </w:rPr>
        <w:tab/>
      </w:r>
      <w:r w:rsidRPr="00F07FE5">
        <w:rPr>
          <w:rFonts w:ascii="Fira Sans SemiBold" w:hAnsi="Fira Sans SemiBold"/>
          <w:bCs/>
        </w:rPr>
        <w:t xml:space="preserve">The rate of detectability of delinquents </w:t>
      </w:r>
      <w:r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BAF" w:rsidRDefault="00F62BAF" w:rsidP="00D9213F">
      <w:pPr>
        <w:spacing w:line="240" w:lineRule="auto"/>
      </w:pPr>
      <w:r>
        <w:separator/>
      </w:r>
    </w:p>
  </w:endnote>
  <w:endnote w:type="continuationSeparator" w:id="0">
    <w:p w:rsidR="00F62BAF" w:rsidRDefault="00F62BAF"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40FB61A0-8134-4F7E-96D8-927327FC7D98}"/>
    <w:embedBold r:id="rId2" w:fontKey="{A1228F65-6665-4E09-8497-28AB24D775C6}"/>
    <w:embedItalic r:id="rId3" w:fontKey="{BBDBD7A4-7D5C-4E56-8E67-8924B130FBB6}"/>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90F9C807-B406-4ECC-9FA7-DE054C833ADC}"/>
    <w:embedBold r:id="rId5" w:fontKey="{936D7559-6519-40F3-A8D5-A77B560586B9}"/>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227239"/>
      <w:docPartObj>
        <w:docPartGallery w:val="Page Numbers (Bottom of Page)"/>
        <w:docPartUnique/>
      </w:docPartObj>
    </w:sdtPr>
    <w:sdtEndPr/>
    <w:sdtContent>
      <w:p w:rsidR="00257660" w:rsidRDefault="00257660" w:rsidP="0096193D">
        <w:pPr>
          <w:pStyle w:val="Pagina"/>
          <w:jc w:val="left"/>
        </w:pPr>
        <w:r>
          <w:fldChar w:fldCharType="begin"/>
        </w:r>
        <w:r>
          <w:instrText>PAGE   \* MERGEFORMAT</w:instrText>
        </w:r>
        <w:r>
          <w:fldChar w:fldCharType="separate"/>
        </w:r>
        <w:r w:rsidR="00CA417B">
          <w:rPr>
            <w:noProof/>
          </w:rPr>
          <w:t>18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EndPr/>
    <w:sdtContent>
      <w:p w:rsidR="00257660" w:rsidRDefault="00257660" w:rsidP="009C2702">
        <w:pPr>
          <w:pStyle w:val="Pagina"/>
        </w:pPr>
        <w:r>
          <w:fldChar w:fldCharType="begin"/>
        </w:r>
        <w:r>
          <w:instrText>PAGE   \* MERGEFORMAT</w:instrText>
        </w:r>
        <w:r>
          <w:fldChar w:fldCharType="separate"/>
        </w:r>
        <w:r w:rsidR="00CA417B">
          <w:rPr>
            <w:noProof/>
          </w:rPr>
          <w:t>19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pPr>
      <w:pStyle w:val="Stopka"/>
      <w:jc w:val="right"/>
    </w:pPr>
  </w:p>
  <w:p w:rsidR="00257660" w:rsidRDefault="0025766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96193D">
    <w:pPr>
      <w:pStyle w:val="Pagina"/>
    </w:pPr>
  </w:p>
  <w:p w:rsidR="00257660" w:rsidRPr="0034671A" w:rsidRDefault="00257660"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Pr="0034671A" w:rsidRDefault="00257660"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EndPr/>
    <w:sdtContent>
      <w:p w:rsidR="00257660" w:rsidRDefault="00257660" w:rsidP="00257660">
        <w:pPr>
          <w:pStyle w:val="Pagina"/>
        </w:pPr>
        <w:r>
          <w:fldChar w:fldCharType="begin"/>
        </w:r>
        <w:r>
          <w:instrText>PAGE   \* MERGEFORMAT</w:instrText>
        </w:r>
        <w:r>
          <w:fldChar w:fldCharType="separate"/>
        </w:r>
        <w:r w:rsidR="00CA417B">
          <w:rPr>
            <w:noProof/>
          </w:rPr>
          <w:t>7</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EndPr/>
    <w:sdtContent>
      <w:p w:rsidR="00257660" w:rsidRPr="0034671A" w:rsidRDefault="00257660" w:rsidP="00257660">
        <w:pPr>
          <w:pStyle w:val="Pagina"/>
          <w:jc w:val="left"/>
        </w:pPr>
        <w:r>
          <w:fldChar w:fldCharType="begin"/>
        </w:r>
        <w:r>
          <w:instrText>PAGE   \* MERGEFORMAT</w:instrText>
        </w:r>
        <w:r>
          <w:fldChar w:fldCharType="separate"/>
        </w:r>
        <w:r w:rsidR="00CA417B">
          <w:rPr>
            <w:noProof/>
          </w:rPr>
          <w:t>8</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EndPr/>
    <w:sdtContent>
      <w:p w:rsidR="00257660" w:rsidRDefault="00257660" w:rsidP="00257660">
        <w:pPr>
          <w:pStyle w:val="Pagina"/>
          <w:jc w:val="left"/>
        </w:pPr>
        <w:r>
          <w:fldChar w:fldCharType="begin"/>
        </w:r>
        <w:r>
          <w:instrText>PAGE   \* MERGEFORMAT</w:instrText>
        </w:r>
        <w:r>
          <w:fldChar w:fldCharType="separate"/>
        </w:r>
        <w:r w:rsidR="00CA417B">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BAF" w:rsidRDefault="00F62BAF" w:rsidP="00D9213F">
      <w:pPr>
        <w:spacing w:line="240" w:lineRule="auto"/>
      </w:pPr>
      <w:r>
        <w:separator/>
      </w:r>
    </w:p>
  </w:footnote>
  <w:footnote w:type="continuationSeparator" w:id="0">
    <w:p w:rsidR="00F62BAF" w:rsidRDefault="00F62BAF"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2A7A5D">
    <w:pPr>
      <w:pStyle w:val="ywapagina"/>
      <w:jc w:val="right"/>
    </w:pPr>
    <w:r>
      <w:t>SPIS TREŚCI</w:t>
    </w:r>
  </w:p>
  <w:p w:rsidR="00257660" w:rsidRPr="002A7A5D" w:rsidRDefault="00257660"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32584D"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Pr="00365212" w:rsidRDefault="00257660"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9576E1">
    <w:pPr>
      <w:pStyle w:val="ywapagina"/>
    </w:pPr>
    <w:r>
      <w:t>GENERAL NOTES</w:t>
    </w:r>
  </w:p>
  <w:p w:rsidR="00257660" w:rsidRPr="009576E1" w:rsidRDefault="00257660"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54733"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9576E1">
    <w:pPr>
      <w:pStyle w:val="ywapagina"/>
      <w:jc w:val="right"/>
    </w:pPr>
    <w:r>
      <w:t>METHODOLOGICAL NOTES</w:t>
    </w:r>
  </w:p>
  <w:p w:rsidR="00257660" w:rsidRPr="002A7A5D" w:rsidRDefault="00257660"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1990A"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Pr="004A3E82" w:rsidRDefault="00257660"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4A3E82">
    <w:pPr>
      <w:pStyle w:val="ywapagina"/>
    </w:pPr>
    <w:r>
      <w:t>METHODOLOGICAL NOTES</w:t>
    </w:r>
  </w:p>
  <w:p w:rsidR="00257660" w:rsidRPr="002A7A5D" w:rsidRDefault="00257660"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4CA52"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Pr="004A3E82" w:rsidRDefault="00257660"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FA569D" w:rsidP="00247BF2">
    <w:pPr>
      <w:pStyle w:val="ywapagina"/>
    </w:pPr>
    <w:r>
      <w:t>CONTENTS</w:t>
    </w:r>
  </w:p>
  <w:p w:rsidR="00257660" w:rsidRPr="00247BF2" w:rsidRDefault="00257660"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032032"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2A7A5D">
    <w:pPr>
      <w:pStyle w:val="ywapagina"/>
      <w:jc w:val="right"/>
    </w:pPr>
    <w:r>
      <w:t>OBJAŚNIENIA ZNAKÓW UMOWNYCH. SKRÓTY</w:t>
    </w:r>
  </w:p>
  <w:p w:rsidR="00257660" w:rsidRPr="002A7A5D" w:rsidRDefault="00257660"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5365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69D" w:rsidRDefault="00FA569D" w:rsidP="00FA569D">
    <w:pPr>
      <w:pStyle w:val="ywapagina"/>
    </w:pPr>
    <w:r>
      <w:t>SYMBOLS. MAJOR ABBREVIATION</w:t>
    </w:r>
  </w:p>
  <w:p w:rsidR="00257660" w:rsidRDefault="00257660"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DE613"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247BF2">
    <w:pPr>
      <w:pStyle w:val="ywapagina"/>
    </w:pPr>
    <w:r>
      <w:t>GENERAL NOTES</w:t>
    </w:r>
  </w:p>
  <w:p w:rsidR="00257660" w:rsidRPr="00247BF2" w:rsidRDefault="00257660"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97310"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2A7A5D">
    <w:pPr>
      <w:pStyle w:val="ywapagina"/>
      <w:jc w:val="right"/>
    </w:pPr>
    <w:r>
      <w:t>UWAGI OGÓLNE</w:t>
    </w:r>
  </w:p>
  <w:p w:rsidR="00257660" w:rsidRPr="002A7A5D" w:rsidRDefault="00257660"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032D2F"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Pr="00FA569D" w:rsidRDefault="00257660" w:rsidP="00FA569D">
    <w:pPr>
      <w:pStyle w:val="Nagwek"/>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CA5251">
    <w:pPr>
      <w:pStyle w:val="ywapagina"/>
    </w:pPr>
    <w:r>
      <w:t>WYJAŚNIENIA METODOLOGICZNE</w:t>
    </w:r>
  </w:p>
  <w:p w:rsidR="00257660" w:rsidRPr="002A7A5D" w:rsidRDefault="00257660"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D77B3"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60" w:rsidRDefault="00257660" w:rsidP="00CA5251">
    <w:pPr>
      <w:pStyle w:val="ywapagina"/>
      <w:jc w:val="right"/>
    </w:pPr>
    <w:r>
      <w:t>WYJAŚNIENIA METODOLOGICZNE</w:t>
    </w:r>
  </w:p>
  <w:p w:rsidR="00257660" w:rsidRPr="002A7A5D" w:rsidRDefault="00257660"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90649"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7EBD"/>
    <w:rsid w:val="0001583B"/>
    <w:rsid w:val="00035DA2"/>
    <w:rsid w:val="000514F6"/>
    <w:rsid w:val="00065563"/>
    <w:rsid w:val="00066173"/>
    <w:rsid w:val="000713E8"/>
    <w:rsid w:val="000764C5"/>
    <w:rsid w:val="0009761D"/>
    <w:rsid w:val="00097A3F"/>
    <w:rsid w:val="00097F1C"/>
    <w:rsid w:val="000A4E5F"/>
    <w:rsid w:val="000B1170"/>
    <w:rsid w:val="000B396B"/>
    <w:rsid w:val="000C56BD"/>
    <w:rsid w:val="000E5F31"/>
    <w:rsid w:val="000F43B9"/>
    <w:rsid w:val="0010072B"/>
    <w:rsid w:val="00110CC7"/>
    <w:rsid w:val="00116581"/>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5F0F"/>
    <w:rsid w:val="002044A6"/>
    <w:rsid w:val="002056BF"/>
    <w:rsid w:val="002109DF"/>
    <w:rsid w:val="0021775B"/>
    <w:rsid w:val="002308DF"/>
    <w:rsid w:val="00232C36"/>
    <w:rsid w:val="002362EC"/>
    <w:rsid w:val="00247BF2"/>
    <w:rsid w:val="00250053"/>
    <w:rsid w:val="002520A5"/>
    <w:rsid w:val="00253B8E"/>
    <w:rsid w:val="00257660"/>
    <w:rsid w:val="00261A64"/>
    <w:rsid w:val="002778F0"/>
    <w:rsid w:val="00296EA8"/>
    <w:rsid w:val="002A1A5D"/>
    <w:rsid w:val="002A5E44"/>
    <w:rsid w:val="002A6733"/>
    <w:rsid w:val="002A7A5D"/>
    <w:rsid w:val="002B6ED6"/>
    <w:rsid w:val="002C1ACD"/>
    <w:rsid w:val="002C5D64"/>
    <w:rsid w:val="002E1C1A"/>
    <w:rsid w:val="002F333E"/>
    <w:rsid w:val="00305D5D"/>
    <w:rsid w:val="00306210"/>
    <w:rsid w:val="00320402"/>
    <w:rsid w:val="00320F6A"/>
    <w:rsid w:val="00346147"/>
    <w:rsid w:val="0034671A"/>
    <w:rsid w:val="00352C36"/>
    <w:rsid w:val="00353163"/>
    <w:rsid w:val="0035602A"/>
    <w:rsid w:val="00365212"/>
    <w:rsid w:val="00367ECD"/>
    <w:rsid w:val="003877D0"/>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E4605"/>
    <w:rsid w:val="004E644F"/>
    <w:rsid w:val="004E6BF2"/>
    <w:rsid w:val="004F290D"/>
    <w:rsid w:val="004F35B0"/>
    <w:rsid w:val="0050338E"/>
    <w:rsid w:val="00505C8A"/>
    <w:rsid w:val="00520B07"/>
    <w:rsid w:val="00522B72"/>
    <w:rsid w:val="00537994"/>
    <w:rsid w:val="00544FD2"/>
    <w:rsid w:val="00553333"/>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2746D"/>
    <w:rsid w:val="00627B7F"/>
    <w:rsid w:val="006321EB"/>
    <w:rsid w:val="00636C21"/>
    <w:rsid w:val="006510B6"/>
    <w:rsid w:val="00654DEC"/>
    <w:rsid w:val="00660016"/>
    <w:rsid w:val="006702F7"/>
    <w:rsid w:val="006717D0"/>
    <w:rsid w:val="0069441C"/>
    <w:rsid w:val="00697931"/>
    <w:rsid w:val="006A53B7"/>
    <w:rsid w:val="006C5381"/>
    <w:rsid w:val="006C5891"/>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661E"/>
    <w:rsid w:val="008C1D41"/>
    <w:rsid w:val="008C577B"/>
    <w:rsid w:val="008D12B2"/>
    <w:rsid w:val="008E7BDC"/>
    <w:rsid w:val="008F5370"/>
    <w:rsid w:val="0094029C"/>
    <w:rsid w:val="00941CB6"/>
    <w:rsid w:val="00950E8C"/>
    <w:rsid w:val="00957304"/>
    <w:rsid w:val="009576E1"/>
    <w:rsid w:val="0096193D"/>
    <w:rsid w:val="00961F60"/>
    <w:rsid w:val="009633A4"/>
    <w:rsid w:val="00980DA4"/>
    <w:rsid w:val="00982DCD"/>
    <w:rsid w:val="00993987"/>
    <w:rsid w:val="009A2D87"/>
    <w:rsid w:val="009A372E"/>
    <w:rsid w:val="009A3B79"/>
    <w:rsid w:val="009A56EC"/>
    <w:rsid w:val="009B2DD7"/>
    <w:rsid w:val="009B78BA"/>
    <w:rsid w:val="009C2702"/>
    <w:rsid w:val="009C77C6"/>
    <w:rsid w:val="009D1283"/>
    <w:rsid w:val="009D1A95"/>
    <w:rsid w:val="009D1F54"/>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729E"/>
    <w:rsid w:val="00B717CC"/>
    <w:rsid w:val="00B72080"/>
    <w:rsid w:val="00B74AB0"/>
    <w:rsid w:val="00B8021D"/>
    <w:rsid w:val="00B94295"/>
    <w:rsid w:val="00BA4B8A"/>
    <w:rsid w:val="00BB176A"/>
    <w:rsid w:val="00BC79DF"/>
    <w:rsid w:val="00BD3292"/>
    <w:rsid w:val="00BD602A"/>
    <w:rsid w:val="00BE6721"/>
    <w:rsid w:val="00C01E7F"/>
    <w:rsid w:val="00C07AAF"/>
    <w:rsid w:val="00C26E39"/>
    <w:rsid w:val="00C31865"/>
    <w:rsid w:val="00C34E5D"/>
    <w:rsid w:val="00C5084B"/>
    <w:rsid w:val="00C617A2"/>
    <w:rsid w:val="00C6508D"/>
    <w:rsid w:val="00C66EE3"/>
    <w:rsid w:val="00C95B92"/>
    <w:rsid w:val="00C96630"/>
    <w:rsid w:val="00CA18BB"/>
    <w:rsid w:val="00CA356B"/>
    <w:rsid w:val="00CA417B"/>
    <w:rsid w:val="00CA5251"/>
    <w:rsid w:val="00CA5642"/>
    <w:rsid w:val="00CA7ADD"/>
    <w:rsid w:val="00CB1242"/>
    <w:rsid w:val="00CC485F"/>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6884"/>
    <w:rsid w:val="00D641AC"/>
    <w:rsid w:val="00D72E89"/>
    <w:rsid w:val="00D751FB"/>
    <w:rsid w:val="00D75412"/>
    <w:rsid w:val="00D77F98"/>
    <w:rsid w:val="00D80477"/>
    <w:rsid w:val="00D83FD1"/>
    <w:rsid w:val="00D9213F"/>
    <w:rsid w:val="00D93391"/>
    <w:rsid w:val="00D97688"/>
    <w:rsid w:val="00DA087F"/>
    <w:rsid w:val="00DA5C2B"/>
    <w:rsid w:val="00DB5A77"/>
    <w:rsid w:val="00DC5613"/>
    <w:rsid w:val="00DD4BE4"/>
    <w:rsid w:val="00DE323F"/>
    <w:rsid w:val="00DE39B9"/>
    <w:rsid w:val="00E07311"/>
    <w:rsid w:val="00E23CDE"/>
    <w:rsid w:val="00E26EE1"/>
    <w:rsid w:val="00E342FD"/>
    <w:rsid w:val="00E36763"/>
    <w:rsid w:val="00E46A65"/>
    <w:rsid w:val="00E51842"/>
    <w:rsid w:val="00E614BA"/>
    <w:rsid w:val="00E72797"/>
    <w:rsid w:val="00E92EC6"/>
    <w:rsid w:val="00E9667E"/>
    <w:rsid w:val="00E97F33"/>
    <w:rsid w:val="00EB156C"/>
    <w:rsid w:val="00EB2887"/>
    <w:rsid w:val="00EC0E67"/>
    <w:rsid w:val="00EC5589"/>
    <w:rsid w:val="00ED361C"/>
    <w:rsid w:val="00EF333E"/>
    <w:rsid w:val="00EF4C11"/>
    <w:rsid w:val="00F07FE5"/>
    <w:rsid w:val="00F15B4E"/>
    <w:rsid w:val="00F17B32"/>
    <w:rsid w:val="00F31831"/>
    <w:rsid w:val="00F43987"/>
    <w:rsid w:val="00F43E10"/>
    <w:rsid w:val="00F45D40"/>
    <w:rsid w:val="00F45D43"/>
    <w:rsid w:val="00F460E2"/>
    <w:rsid w:val="00F62BAF"/>
    <w:rsid w:val="00F67515"/>
    <w:rsid w:val="00F67AD9"/>
    <w:rsid w:val="00F75EF1"/>
    <w:rsid w:val="00F8436B"/>
    <w:rsid w:val="00F87EFB"/>
    <w:rsid w:val="00F9175F"/>
    <w:rsid w:val="00F933BC"/>
    <w:rsid w:val="00FA569D"/>
    <w:rsid w:val="00FA6ACE"/>
    <w:rsid w:val="00FA7E97"/>
    <w:rsid w:val="00FB2467"/>
    <w:rsid w:val="00FB4450"/>
    <w:rsid w:val="00FC2426"/>
    <w:rsid w:val="00FC7476"/>
    <w:rsid w:val="00FD1BEC"/>
    <w:rsid w:val="00FE2646"/>
    <w:rsid w:val="00FE2846"/>
    <w:rsid w:val="00FF03F5"/>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002FC-81C6-49ED-AAD7-7E07AA20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35</Pages>
  <Words>14670</Words>
  <Characters>88024</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M.Besser@stat.gov.pl</dc:creator>
  <cp:keywords/>
  <dc:description/>
  <cp:lastModifiedBy>Szlączka Janusz</cp:lastModifiedBy>
  <cp:revision>10</cp:revision>
  <cp:lastPrinted>2022-08-23T13:48:00Z</cp:lastPrinted>
  <dcterms:created xsi:type="dcterms:W3CDTF">2022-08-19T14:41:00Z</dcterms:created>
  <dcterms:modified xsi:type="dcterms:W3CDTF">2022-08-23T13:57:00Z</dcterms:modified>
</cp:coreProperties>
</file>